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23" w:rsidRPr="00E802BE" w:rsidRDefault="00374E23" w:rsidP="00374E23">
      <w:pPr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E802BE">
        <w:rPr>
          <w:rFonts w:ascii="Times New Roman" w:hAnsi="Times New Roman"/>
          <w:i/>
          <w:sz w:val="24"/>
          <w:szCs w:val="24"/>
          <w:lang w:val="ro-MD"/>
        </w:rPr>
        <w:t>Anexa 1</w:t>
      </w:r>
    </w:p>
    <w:p w:rsidR="00374E23" w:rsidRPr="00E802BE" w:rsidRDefault="00F4606D" w:rsidP="00374E23">
      <w:pPr>
        <w:tabs>
          <w:tab w:val="right" w:leader="dot" w:pos="8640"/>
        </w:tabs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>
        <w:rPr>
          <w:rFonts w:ascii="Times New Roman" w:hAnsi="Times New Roman"/>
          <w:i/>
          <w:sz w:val="24"/>
          <w:szCs w:val="24"/>
          <w:lang w:val="ro-MD"/>
        </w:rPr>
        <w:t>la Invitația pentru</w:t>
      </w:r>
      <w:r w:rsidR="00374E23" w:rsidRPr="00E802BE">
        <w:rPr>
          <w:rFonts w:ascii="Times New Roman" w:hAnsi="Times New Roman"/>
          <w:i/>
          <w:sz w:val="24"/>
          <w:szCs w:val="24"/>
          <w:lang w:val="ro-MD"/>
        </w:rPr>
        <w:t xml:space="preserve"> </w:t>
      </w:r>
      <w:r w:rsidR="00D0125E" w:rsidRPr="00E802BE">
        <w:rPr>
          <w:rFonts w:ascii="Times New Roman" w:hAnsi="Times New Roman"/>
          <w:i/>
          <w:sz w:val="24"/>
          <w:szCs w:val="24"/>
          <w:lang w:val="ro-MD"/>
        </w:rPr>
        <w:t>prezentare</w:t>
      </w:r>
      <w:r w:rsidR="00374E23" w:rsidRPr="00E802BE">
        <w:rPr>
          <w:rFonts w:ascii="Times New Roman" w:hAnsi="Times New Roman"/>
          <w:i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MD"/>
        </w:rPr>
        <w:t>de</w:t>
      </w:r>
      <w:r w:rsidR="00374E23" w:rsidRPr="00E802BE">
        <w:rPr>
          <w:rFonts w:ascii="Times New Roman" w:hAnsi="Times New Roman"/>
          <w:i/>
          <w:sz w:val="24"/>
          <w:szCs w:val="24"/>
          <w:lang w:val="ro-MD"/>
        </w:rPr>
        <w:t xml:space="preserve"> oferte  </w:t>
      </w:r>
    </w:p>
    <w:p w:rsidR="00F604A9" w:rsidRPr="00F604A9" w:rsidRDefault="00F604A9" w:rsidP="00F604A9">
      <w:pPr>
        <w:spacing w:line="240" w:lineRule="auto"/>
        <w:ind w:left="-709"/>
        <w:jc w:val="right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  <w:r w:rsidRPr="00F604A9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# 16 din 03.06.2024</w:t>
      </w:r>
    </w:p>
    <w:p w:rsidR="00374E23" w:rsidRPr="00D4460D" w:rsidRDefault="00374E23" w:rsidP="00374E23">
      <w:pPr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</w:p>
    <w:p w:rsidR="00374E23" w:rsidRPr="00E802BE" w:rsidRDefault="00374E2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Beneficiar: A.O. </w:t>
      </w: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„</w:t>
      </w: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Inițiativa Pozitivă” </w:t>
      </w:r>
    </w:p>
    <w:p w:rsidR="00883A9A" w:rsidRDefault="00374E23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Furnizor:_______________________</w:t>
      </w:r>
    </w:p>
    <w:p w:rsidR="00883A9A" w:rsidRDefault="00883A9A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883A9A" w:rsidRDefault="00883A9A" w:rsidP="00883A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883A9A" w:rsidRPr="003B7FCC" w:rsidRDefault="00883A9A" w:rsidP="00883A9A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Lot 1 (Lot </w:t>
      </w:r>
      <w:proofErr w:type="spellStart"/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unic</w:t>
      </w:r>
      <w:proofErr w:type="spellEnd"/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)</w:t>
      </w:r>
    </w:p>
    <w:p w:rsidR="00F604A9" w:rsidRPr="003F78C5" w:rsidRDefault="00F604A9" w:rsidP="00F604A9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Certificate/vouchere valorice </w:t>
      </w:r>
    </w:p>
    <w:p w:rsidR="00F604A9" w:rsidRPr="003F78C5" w:rsidRDefault="00F604A9" w:rsidP="00F604A9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200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un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cu nominalul de 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350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MDL</w:t>
      </w:r>
    </w:p>
    <w:p w:rsidR="00F604A9" w:rsidRPr="003F78C5" w:rsidRDefault="00F604A9" w:rsidP="00F604A9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175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un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cu nominalul de 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400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MDL</w:t>
      </w:r>
    </w:p>
    <w:p w:rsidR="00883A9A" w:rsidRDefault="00883A9A" w:rsidP="007022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9930C0" w:rsidRPr="001576CE" w:rsidRDefault="00827B69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1576C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Criteriile de Eligibilitate </w:t>
      </w:r>
      <w:r w:rsidR="00C53A85" w:rsidRPr="001576C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solicitate</w:t>
      </w:r>
    </w:p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4819"/>
        <w:gridCol w:w="2693"/>
        <w:gridCol w:w="2268"/>
      </w:tblGrid>
      <w:tr w:rsidR="00883A9A" w:rsidTr="008F416A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819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693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Documente confirmative solicitate</w:t>
            </w:r>
          </w:p>
        </w:tc>
        <w:tc>
          <w:tcPr>
            <w:tcW w:w="22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Documente confirmative prezentate</w:t>
            </w:r>
          </w:p>
        </w:tc>
      </w:tr>
      <w:tr w:rsidR="00883A9A" w:rsidTr="00146B7E">
        <w:trPr>
          <w:trHeight w:val="1647"/>
        </w:trPr>
        <w:tc>
          <w:tcPr>
            <w:tcW w:w="568" w:type="dxa"/>
            <w:vAlign w:val="center"/>
          </w:tcPr>
          <w:p w:rsidR="00883A9A" w:rsidRPr="006F2DA7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4819" w:type="dxa"/>
            <w:vAlign w:val="center"/>
          </w:tcPr>
          <w:p w:rsidR="00883A9A" w:rsidRPr="00D91298" w:rsidRDefault="00883A9A" w:rsidP="00D9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Persoane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juridice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înregistrate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Republica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Moldova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licențiate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298" w:rsidRPr="00D91298">
              <w:rPr>
                <w:rFonts w:ascii="Times New Roman" w:hAnsi="Times New Roman"/>
                <w:sz w:val="24"/>
                <w:szCs w:val="24"/>
                <w:lang w:val="ro-RO"/>
              </w:rPr>
              <w:t>produse alimentare și igienice de prima necesitate</w:t>
            </w:r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rețea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magazine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Chișinău</w:t>
            </w:r>
            <w:proofErr w:type="spellEnd"/>
            <w:r w:rsidR="00D9129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vAlign w:val="center"/>
          </w:tcPr>
          <w:p w:rsidR="008F416A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="00BD562B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Certificat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de 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înregistrare</w:t>
            </w:r>
          </w:p>
          <w:p w:rsidR="008F416A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-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Licenț</w:t>
            </w:r>
            <w:r w:rsidR="00A92C6F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a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de activitate</w:t>
            </w:r>
          </w:p>
          <w:p w:rsidR="00883A9A" w:rsidRPr="007022A3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pentru 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lista </w:t>
            </w:r>
            <w:r w:rsidR="00A92C6F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rețelelor de magazine</w:t>
            </w:r>
            <w:r w:rsidR="00BD562B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din gestiune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demonstreze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capa</w:t>
            </w:r>
            <w:r w:rsidRPr="00883A9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3E3A0E">
              <w:rPr>
                <w:rFonts w:ascii="Times New Roman" w:hAnsi="Times New Roman"/>
                <w:sz w:val="24"/>
                <w:szCs w:val="24"/>
              </w:rPr>
              <w:t>itatea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tehn</w:t>
            </w:r>
            <w:r w:rsidR="00BD562B">
              <w:rPr>
                <w:rFonts w:ascii="Times New Roman" w:hAnsi="Times New Roman"/>
                <w:sz w:val="24"/>
                <w:szCs w:val="24"/>
              </w:rPr>
              <w:t>ică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gestionare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voucherelor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Pr="007022A3" w:rsidRDefault="0025532D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="007022A3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prețul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voucherelor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corespundă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valorii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nominale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solicitate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83A9A" w:rsidRDefault="00F72A15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C83B65">
        <w:trPr>
          <w:trHeight w:val="1732"/>
        </w:trPr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aibă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număr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serie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cod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căruia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fie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posibilă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voucherului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că</w:t>
            </w:r>
            <w:r w:rsidR="00BD562B">
              <w:rPr>
                <w:rFonts w:ascii="Times New Roman" w:hAnsi="Times New Roman"/>
                <w:sz w:val="24"/>
                <w:szCs w:val="24"/>
              </w:rPr>
              <w:t>tre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beneficiar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necesitate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Default="00146B7E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0B66E0" w:rsidTr="00146B7E">
        <w:tc>
          <w:tcPr>
            <w:tcW w:w="568" w:type="dxa"/>
            <w:vAlign w:val="center"/>
          </w:tcPr>
          <w:p w:rsidR="000B66E0" w:rsidRDefault="000B66E0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5.</w:t>
            </w:r>
          </w:p>
        </w:tc>
        <w:tc>
          <w:tcPr>
            <w:tcW w:w="4819" w:type="dxa"/>
            <w:vAlign w:val="center"/>
          </w:tcPr>
          <w:p w:rsidR="000B66E0" w:rsidRPr="000B66E0" w:rsidRDefault="00C83B65" w:rsidP="00146B7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B66E0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Materialul voucherului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– carton sau plastic</w:t>
            </w:r>
          </w:p>
        </w:tc>
        <w:tc>
          <w:tcPr>
            <w:tcW w:w="2693" w:type="dxa"/>
            <w:vAlign w:val="center"/>
          </w:tcPr>
          <w:p w:rsidR="000B66E0" w:rsidRDefault="00C83B65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0B66E0" w:rsidRDefault="000B66E0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C83B65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6</w:t>
            </w:r>
            <w:r w:rsidR="00883A9A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disponibilitatea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emite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voucherele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zile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luc</w:t>
            </w:r>
            <w:r w:rsidR="00BD562B">
              <w:rPr>
                <w:rFonts w:ascii="Times New Roman" w:hAnsi="Times New Roman"/>
                <w:sz w:val="24"/>
                <w:szCs w:val="24"/>
              </w:rPr>
              <w:t>rătoare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transferului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Default="00146B7E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5517D3" w:rsidRPr="00694923" w:rsidRDefault="005517D3" w:rsidP="005517D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Notă! </w:t>
      </w:r>
    </w:p>
    <w:p w:rsidR="009930C0" w:rsidRPr="00CE6F0C" w:rsidRDefault="005517D3" w:rsidP="00CE6F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- Toate documentele prezentate trebuie să fie avizate de către ofertant (vânzător)</w:t>
      </w:r>
    </w:p>
    <w:p w:rsidR="00827B69" w:rsidRPr="00E802BE" w:rsidRDefault="00827B69" w:rsidP="00827B69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65247A" w:rsidRPr="001576CE" w:rsidRDefault="001576CE" w:rsidP="0065247A">
      <w:pPr>
        <w:spacing w:after="0" w:line="240" w:lineRule="auto"/>
        <w:ind w:left="-284" w:firstLine="142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MD"/>
        </w:rPr>
        <w:t>Oferta de pre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ț</w:t>
      </w:r>
    </w:p>
    <w:tbl>
      <w:tblPr>
        <w:tblpPr w:leftFromText="180" w:rightFromText="180" w:vertAnchor="text" w:horzAnchor="margin" w:tblpX="-147" w:tblpY="1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2126"/>
        <w:gridCol w:w="2693"/>
        <w:gridCol w:w="1985"/>
      </w:tblGrid>
      <w:tr w:rsidR="00B52EB7" w:rsidRPr="00E802BE" w:rsidTr="00B52EB7">
        <w:trPr>
          <w:trHeight w:val="1129"/>
        </w:trPr>
        <w:tc>
          <w:tcPr>
            <w:tcW w:w="846" w:type="dxa"/>
            <w:vAlign w:val="center"/>
          </w:tcPr>
          <w:p w:rsidR="00B52EB7" w:rsidRPr="00E802BE" w:rsidRDefault="00B52EB7" w:rsidP="00B5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produs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Cantitate și cerințe</w:t>
            </w:r>
            <w:r w:rsidR="0040568F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de ambalare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Specificații Furnizor</w:t>
            </w:r>
          </w:p>
          <w:p w:rsidR="00B52EB7" w:rsidRPr="00E802BE" w:rsidRDefault="00B52EB7" w:rsidP="00B5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  <w:tc>
          <w:tcPr>
            <w:tcW w:w="1985" w:type="dxa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Preț unitar MDL</w:t>
            </w:r>
            <w:r w:rsidR="00A20A8D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la cota TVA 0%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E802BE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Orez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Pr="00E802BE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290658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Hrișcă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873FE2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Fasole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873FE2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Macaroane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Lapte 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1litru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Chefir 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1litru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Smântână 20%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 gr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Brânză vaci 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 gr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Unt 82,5%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 gr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Ouă găină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 buc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Ceai pachețele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 pachețele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Zahăr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Suc în asortiment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 litru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Săpun lichid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 ml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Șampon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400 ml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Balsam pentru păr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250 ml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Praf pentru rufe (manual)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E26A3F">
        <w:trPr>
          <w:trHeight w:val="328"/>
        </w:trPr>
        <w:tc>
          <w:tcPr>
            <w:tcW w:w="8075" w:type="dxa"/>
            <w:gridSpan w:val="4"/>
            <w:vAlign w:val="center"/>
          </w:tcPr>
          <w:p w:rsidR="00B52EB7" w:rsidRPr="00B52EB7" w:rsidRDefault="00B52EB7" w:rsidP="00C479DE">
            <w:pPr>
              <w:spacing w:before="120" w:after="12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B52EB7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Total MDL </w:t>
            </w: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</w:tbl>
    <w:p w:rsid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Notă! </w:t>
      </w: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- Evaluarea ofertelor </w:t>
      </w:r>
      <w:r>
        <w:rPr>
          <w:rFonts w:ascii="Times New Roman" w:hAnsi="Times New Roman"/>
          <w:b/>
          <w:bCs/>
          <w:sz w:val="24"/>
          <w:szCs w:val="24"/>
          <w:lang w:val="ro-MD"/>
        </w:rPr>
        <w:t>de preț</w:t>
      </w: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 va fi efectuată doar pentru ofertanții eligibili!!</w:t>
      </w: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>- Oferta de preț va cuprinde lista de produse specificat în anexa №.1. Lista produselor solicitate conține pachetul minim de produse, necesare pentru evaluarea finală a furnizorului.</w:t>
      </w:r>
    </w:p>
    <w:p w:rsidR="00A20A8D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>- Produsele achiziționate nu se vor limita doar la această listă ci vor cuprinde toată gama produselor disponibile în magazin.</w:t>
      </w:r>
    </w:p>
    <w:p w:rsidR="00146B7E" w:rsidRPr="00146B7E" w:rsidRDefault="00146B7E" w:rsidP="00146B7E">
      <w:pPr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374E23" w:rsidRPr="00E802BE" w:rsidRDefault="00374E23" w:rsidP="00FF4497">
      <w:pPr>
        <w:numPr>
          <w:ilvl w:val="0"/>
          <w:numId w:val="1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proofErr w:type="spellStart"/>
      <w:r w:rsidRPr="00B619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>Recepţia</w:t>
      </w:r>
      <w:proofErr w:type="spellEnd"/>
      <w:r w:rsidRPr="00B619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 xml:space="preserve"> produselor</w:t>
      </w:r>
      <w:r w:rsidR="004310F1" w:rsidRPr="00B619D8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:</w:t>
      </w:r>
      <w:r w:rsidRPr="00B619D8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se va face</w:t>
      </w:r>
      <w:r w:rsidR="00B619D8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</w:t>
      </w:r>
      <w:r w:rsidRPr="00B619D8">
        <w:rPr>
          <w:rFonts w:ascii="Times New Roman" w:eastAsia="Times New Roman" w:hAnsi="Times New Roman"/>
          <w:sz w:val="24"/>
          <w:szCs w:val="24"/>
          <w:lang w:val="ro-MD"/>
        </w:rPr>
        <w:t xml:space="preserve">prin semnarea </w:t>
      </w:r>
      <w:r w:rsidR="00FF4497">
        <w:rPr>
          <w:rFonts w:ascii="Times New Roman" w:eastAsia="Times New Roman" w:hAnsi="Times New Roman"/>
          <w:sz w:val="24"/>
          <w:szCs w:val="24"/>
          <w:lang w:val="ro-MD"/>
        </w:rPr>
        <w:t xml:space="preserve">documentelor confirmative </w:t>
      </w:r>
      <w:r w:rsidRPr="00B619D8">
        <w:rPr>
          <w:rFonts w:ascii="Times New Roman" w:eastAsia="Times New Roman" w:hAnsi="Times New Roman"/>
          <w:sz w:val="24"/>
          <w:szCs w:val="24"/>
          <w:lang w:val="ro-MD"/>
        </w:rPr>
        <w:t xml:space="preserve">de către reprezentantul autorizat al A.O. „Inițiativa Pozitivă”. </w:t>
      </w:r>
    </w:p>
    <w:p w:rsidR="00495CBF" w:rsidRPr="00E802BE" w:rsidRDefault="00374E23" w:rsidP="002E3F8B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hanging="50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Plățile:</w:t>
      </w:r>
      <w:r w:rsidRPr="00E802BE">
        <w:rPr>
          <w:rFonts w:ascii="Times New Roman" w:hAnsi="Times New Roman"/>
          <w:sz w:val="24"/>
          <w:szCs w:val="24"/>
          <w:lang w:val="ro-MD"/>
        </w:rPr>
        <w:t xml:space="preserve"> plata va fi efectuată după cum urmează:</w:t>
      </w:r>
    </w:p>
    <w:p w:rsidR="00495CBF" w:rsidRPr="00E802BE" w:rsidRDefault="00495CBF" w:rsidP="002E3F8B">
      <w:pPr>
        <w:tabs>
          <w:tab w:val="left" w:pos="0"/>
          <w:tab w:val="left" w:pos="284"/>
        </w:tabs>
        <w:spacing w:after="0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lang w:val="ro-MD"/>
        </w:rPr>
        <w:t>-</w:t>
      </w:r>
      <w:r w:rsidRPr="00E802BE">
        <w:rPr>
          <w:rFonts w:ascii="Times New Roman" w:hAnsi="Times New Roman"/>
          <w:b/>
          <w:i/>
          <w:sz w:val="24"/>
          <w:szCs w:val="24"/>
          <w:lang w:val="ro-MD"/>
        </w:rPr>
        <w:t xml:space="preserve"> 100% </w:t>
      </w:r>
      <w:r w:rsidRPr="00E802BE">
        <w:rPr>
          <w:rFonts w:ascii="Times New Roman" w:hAnsi="Times New Roman"/>
          <w:sz w:val="24"/>
          <w:szCs w:val="24"/>
          <w:lang w:val="ro-MD"/>
        </w:rPr>
        <w:t>în avans,</w:t>
      </w:r>
      <w:r w:rsidR="00FF4497">
        <w:rPr>
          <w:rFonts w:ascii="Times New Roman" w:hAnsi="Times New Roman"/>
          <w:sz w:val="24"/>
          <w:szCs w:val="24"/>
          <w:lang w:val="ro-MD"/>
        </w:rPr>
        <w:t xml:space="preserve"> conform contului spre plată.</w:t>
      </w:r>
    </w:p>
    <w:p w:rsidR="00374E23" w:rsidRPr="00E802BE" w:rsidRDefault="00E81FAF" w:rsidP="002E3F8B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4</w:t>
      </w:r>
      <w:r w:rsidR="00F83C08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Ambalare: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 </w:t>
      </w:r>
      <w:r w:rsidR="00FF4497">
        <w:rPr>
          <w:rFonts w:ascii="Times New Roman" w:eastAsia="Times New Roman" w:hAnsi="Times New Roman"/>
          <w:sz w:val="24"/>
          <w:szCs w:val="24"/>
          <w:lang w:val="ro-MD"/>
        </w:rPr>
        <w:t>conform cerințelor</w:t>
      </w:r>
      <w:r w:rsidR="004F45B4">
        <w:rPr>
          <w:rFonts w:ascii="Times New Roman" w:eastAsia="Times New Roman" w:hAnsi="Times New Roman"/>
          <w:sz w:val="24"/>
          <w:szCs w:val="24"/>
          <w:lang w:val="ro-MD"/>
        </w:rPr>
        <w:t xml:space="preserve"> contractuale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  <w:r w:rsidR="000B66E0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</w:p>
    <w:p w:rsidR="00495CBF" w:rsidRPr="00E802BE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5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Defecte: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Toate defectele vor fi corectate de către furnizor, fără nici un cost pentru A.O. „Inițiativa Pozitivă” în termen de 10 zile de la data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anunțului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F67FF0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6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Neexecutare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: 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A.O. „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poate anula contractul dacă Furnizorul nu livrează </w:t>
      </w:r>
      <w:r w:rsidR="005517D3">
        <w:rPr>
          <w:rFonts w:ascii="Times New Roman" w:eastAsia="Times New Roman" w:hAnsi="Times New Roman"/>
          <w:sz w:val="24"/>
          <w:szCs w:val="24"/>
          <w:lang w:val="ro-MD"/>
        </w:rPr>
        <w:t>bunurilor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în conformitate cu termenii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condițiile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mai sus, după o notificare prealabilă de 10 zile primită de la Beneficiar, fără a avea vreo </w:t>
      </w:r>
      <w:r w:rsidR="00AF3795" w:rsidRPr="00E802BE">
        <w:rPr>
          <w:rFonts w:ascii="Times New Roman" w:eastAsia="Times New Roman" w:hAnsi="Times New Roman"/>
          <w:sz w:val="24"/>
          <w:szCs w:val="24"/>
          <w:lang w:val="ro-MD"/>
        </w:rPr>
        <w:t>obligație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faţă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Furnizor.</w:t>
      </w:r>
    </w:p>
    <w:p w:rsidR="00AF3795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lastRenderedPageBreak/>
        <w:t>7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  <w:r w:rsidR="00F67FF0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AF3795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Termenii de executare a contractului</w:t>
      </w:r>
      <w:r w:rsidR="00AF3795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: </w:t>
      </w:r>
      <w:r w:rsidR="00941429">
        <w:rPr>
          <w:rFonts w:ascii="Times New Roman" w:eastAsia="Times New Roman" w:hAnsi="Times New Roman"/>
          <w:b/>
          <w:sz w:val="24"/>
          <w:szCs w:val="24"/>
          <w:lang w:val="ro-MD"/>
        </w:rPr>
        <w:t>iunie</w:t>
      </w:r>
      <w:r w:rsidR="004F45B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</w:t>
      </w:r>
      <w:r w:rsidR="00843484">
        <w:rPr>
          <w:rFonts w:ascii="Times New Roman" w:eastAsia="Times New Roman" w:hAnsi="Times New Roman"/>
          <w:b/>
          <w:sz w:val="24"/>
          <w:szCs w:val="24"/>
          <w:lang w:val="ro-MD"/>
        </w:rPr>
        <w:t>-</w:t>
      </w:r>
      <w:r w:rsidR="004F45B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</w:t>
      </w:r>
      <w:r w:rsidR="0084348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decembrie </w:t>
      </w:r>
      <w:r w:rsidR="001364B5" w:rsidRPr="001364B5">
        <w:rPr>
          <w:rFonts w:ascii="Times New Roman" w:eastAsia="Times New Roman" w:hAnsi="Times New Roman"/>
          <w:b/>
          <w:sz w:val="24"/>
          <w:szCs w:val="24"/>
          <w:lang w:val="ro-MD"/>
        </w:rPr>
        <w:t>202</w:t>
      </w:r>
      <w:r w:rsidR="00941429">
        <w:rPr>
          <w:rFonts w:ascii="Times New Roman" w:eastAsia="Times New Roman" w:hAnsi="Times New Roman"/>
          <w:b/>
          <w:sz w:val="24"/>
          <w:szCs w:val="24"/>
          <w:lang w:val="ro-MD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</w:p>
    <w:p w:rsidR="005F3B09" w:rsidRDefault="005F3B09" w:rsidP="005F3B09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8. Altele</w:t>
      </w: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</w:p>
    <w:p w:rsidR="005555C7" w:rsidRDefault="005555C7" w:rsidP="005555C7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8.1.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Cheltuielile legate de emiterea 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voucherelor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 vor fi suportate de către ofertant (vânzător);</w:t>
      </w:r>
    </w:p>
    <w:p w:rsidR="005F3B09" w:rsidRPr="005555C7" w:rsidRDefault="005555C7" w:rsidP="005555C7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8.2. 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Ofertantul se va asigura că se aplică următoarele </w:t>
      </w:r>
      <w:bookmarkStart w:id="0" w:name="_GoBack"/>
      <w:r w:rsidR="005F3B09" w:rsidRPr="00941429">
        <w:rPr>
          <w:rFonts w:ascii="Times New Roman" w:hAnsi="Times New Roman"/>
          <w:b/>
          <w:sz w:val="24"/>
          <w:szCs w:val="24"/>
          <w:shd w:val="clear" w:color="auto" w:fill="FFFFFF"/>
          <w:lang w:val="ro-MD"/>
        </w:rPr>
        <w:t>interdicții</w:t>
      </w:r>
      <w:bookmarkEnd w:id="0"/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: </w:t>
      </w:r>
    </w:p>
    <w:p w:rsidR="005F3B09" w:rsidRPr="00357690" w:rsidRDefault="005F3B09" w:rsidP="005F3B09">
      <w:pPr>
        <w:spacing w:after="0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schimbarea voucherului pe bani, inclusiv în cazul returnării produselor achiziționate (dacă acest lucru (returnarea) este prevăzut de lege);</w:t>
      </w:r>
    </w:p>
    <w:p w:rsidR="005F3B09" w:rsidRPr="00357690" w:rsidRDefault="005F3B09" w:rsidP="005F3B0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achi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ziționarea de băuturi alcoolice și produselor din tutun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.</w:t>
      </w:r>
    </w:p>
    <w:p w:rsidR="005F3B09" w:rsidRPr="00357690" w:rsidRDefault="005555C7" w:rsidP="005555C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8.3.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Ofertantul va aplica următoarele drepturi: </w:t>
      </w:r>
    </w:p>
    <w:p w:rsidR="005F3B09" w:rsidRPr="00357690" w:rsidRDefault="005F3B09" w:rsidP="005F3B09">
      <w:pPr>
        <w:spacing w:after="0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acceptarea returnării produselor (conform reglementărilor în vigoare) și înlocuirea acestora cu produse de aceeași valoare; </w:t>
      </w:r>
    </w:p>
    <w:p w:rsidR="005F3B09" w:rsidRPr="00357690" w:rsidRDefault="005F3B09" w:rsidP="005F3B0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procurarea de produse cu un preț mai mare decât valoarea nominală indicată în voucher, doar cu achitarea din buzunar, de către cumpărător (beneficiar), a diferenței de preț;</w:t>
      </w:r>
    </w:p>
    <w:p w:rsidR="005F3B09" w:rsidRPr="00560B14" w:rsidRDefault="004A09E8" w:rsidP="004A09E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- v</w:t>
      </w:r>
      <w:r w:rsidR="005F3B09" w:rsidRPr="00560B14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oucherul poate fi restituit în caz de deteriorare;</w:t>
      </w:r>
    </w:p>
    <w:p w:rsidR="005F3B09" w:rsidRPr="00357690" w:rsidRDefault="004A09E8" w:rsidP="004A09E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8.4.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Voucherul va avea un termen de valabilitate care nu va depăși 31.12.202</w:t>
      </w:r>
      <w:r w:rsidR="005F3B09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4</w:t>
      </w:r>
      <w:r w:rsidR="00344FDE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.</w:t>
      </w:r>
    </w:p>
    <w:p w:rsidR="005F3B09" w:rsidRPr="00E802BE" w:rsidRDefault="005F3B09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374E23" w:rsidRPr="00E802BE" w:rsidRDefault="00374E23" w:rsidP="004310F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highlight w:val="yellow"/>
          <w:lang w:val="ro-MD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Date despre companie: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Denumirea Companiei: ___________________________________________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Cod fiscal:  ____________________________________________________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Director: ______________________________________________________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(Numele, Prenumele)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Date de contact (adresă; telefon; fax; e-mail) și rechizitele bancare 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Data ofertei:    __________________________________      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___________________________            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                      Semnătura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                      L.Ș.</w:t>
      </w:r>
    </w:p>
    <w:p w:rsidR="00F433AC" w:rsidRPr="00357690" w:rsidRDefault="00F433AC" w:rsidP="00AF0C8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</w:p>
    <w:p w:rsidR="000E2158" w:rsidRPr="00E802BE" w:rsidRDefault="000E2158">
      <w:pPr>
        <w:rPr>
          <w:lang w:val="ro-MD"/>
        </w:rPr>
      </w:pPr>
    </w:p>
    <w:sectPr w:rsidR="000E2158" w:rsidRPr="00E802BE" w:rsidSect="008F416A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B83"/>
    <w:multiLevelType w:val="hybridMultilevel"/>
    <w:tmpl w:val="5AB0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312"/>
    <w:multiLevelType w:val="hybridMultilevel"/>
    <w:tmpl w:val="CEF8BC42"/>
    <w:lvl w:ilvl="0" w:tplc="B8F4E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02E90"/>
    <w:multiLevelType w:val="hybridMultilevel"/>
    <w:tmpl w:val="5AB0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05514"/>
    <w:rsid w:val="00027797"/>
    <w:rsid w:val="00027B9E"/>
    <w:rsid w:val="00034C0F"/>
    <w:rsid w:val="00036C56"/>
    <w:rsid w:val="00036EDC"/>
    <w:rsid w:val="000429C2"/>
    <w:rsid w:val="000465DA"/>
    <w:rsid w:val="000514D0"/>
    <w:rsid w:val="0007118B"/>
    <w:rsid w:val="000B4F37"/>
    <w:rsid w:val="000B52CA"/>
    <w:rsid w:val="000B66E0"/>
    <w:rsid w:val="000C0069"/>
    <w:rsid w:val="000C704C"/>
    <w:rsid w:val="000D34C9"/>
    <w:rsid w:val="000D40D8"/>
    <w:rsid w:val="000E2158"/>
    <w:rsid w:val="001364B5"/>
    <w:rsid w:val="00146B7E"/>
    <w:rsid w:val="001557A2"/>
    <w:rsid w:val="001576CE"/>
    <w:rsid w:val="00166756"/>
    <w:rsid w:val="00190412"/>
    <w:rsid w:val="0019264B"/>
    <w:rsid w:val="001E7C57"/>
    <w:rsid w:val="002366AF"/>
    <w:rsid w:val="0025532D"/>
    <w:rsid w:val="0027362C"/>
    <w:rsid w:val="00281A69"/>
    <w:rsid w:val="00290658"/>
    <w:rsid w:val="002C3430"/>
    <w:rsid w:val="002C3BB9"/>
    <w:rsid w:val="002E3F8B"/>
    <w:rsid w:val="002F0EE4"/>
    <w:rsid w:val="00344FDE"/>
    <w:rsid w:val="00374E23"/>
    <w:rsid w:val="00384C63"/>
    <w:rsid w:val="003C39CB"/>
    <w:rsid w:val="003E3A0E"/>
    <w:rsid w:val="0040568F"/>
    <w:rsid w:val="004310F1"/>
    <w:rsid w:val="00447898"/>
    <w:rsid w:val="00465B54"/>
    <w:rsid w:val="00495CBF"/>
    <w:rsid w:val="004A09E8"/>
    <w:rsid w:val="004A17AC"/>
    <w:rsid w:val="004C1DBA"/>
    <w:rsid w:val="004D0D4F"/>
    <w:rsid w:val="004D2E64"/>
    <w:rsid w:val="004E3D76"/>
    <w:rsid w:val="004F45B4"/>
    <w:rsid w:val="004F71C8"/>
    <w:rsid w:val="00533121"/>
    <w:rsid w:val="00545185"/>
    <w:rsid w:val="0055034A"/>
    <w:rsid w:val="005517D3"/>
    <w:rsid w:val="005555C7"/>
    <w:rsid w:val="005774A8"/>
    <w:rsid w:val="005923E0"/>
    <w:rsid w:val="005B6C12"/>
    <w:rsid w:val="005E2E7A"/>
    <w:rsid w:val="005F3B09"/>
    <w:rsid w:val="00615A7A"/>
    <w:rsid w:val="00642F4D"/>
    <w:rsid w:val="0065247A"/>
    <w:rsid w:val="00675A98"/>
    <w:rsid w:val="006814B6"/>
    <w:rsid w:val="00694923"/>
    <w:rsid w:val="006A217F"/>
    <w:rsid w:val="006E7BBD"/>
    <w:rsid w:val="006F2DA7"/>
    <w:rsid w:val="007022A3"/>
    <w:rsid w:val="00710655"/>
    <w:rsid w:val="007117DC"/>
    <w:rsid w:val="00791485"/>
    <w:rsid w:val="007D35A6"/>
    <w:rsid w:val="00804EBA"/>
    <w:rsid w:val="00827B69"/>
    <w:rsid w:val="0084012A"/>
    <w:rsid w:val="00843484"/>
    <w:rsid w:val="00860939"/>
    <w:rsid w:val="008720B8"/>
    <w:rsid w:val="00873D6F"/>
    <w:rsid w:val="00873FE2"/>
    <w:rsid w:val="00883A9A"/>
    <w:rsid w:val="008A7A61"/>
    <w:rsid w:val="008C76D8"/>
    <w:rsid w:val="008D5B0F"/>
    <w:rsid w:val="008F416A"/>
    <w:rsid w:val="00906B1E"/>
    <w:rsid w:val="00921940"/>
    <w:rsid w:val="00941429"/>
    <w:rsid w:val="009930C0"/>
    <w:rsid w:val="009A23DC"/>
    <w:rsid w:val="009B3814"/>
    <w:rsid w:val="00A20A8D"/>
    <w:rsid w:val="00A26828"/>
    <w:rsid w:val="00A71FF5"/>
    <w:rsid w:val="00A72C6E"/>
    <w:rsid w:val="00A92664"/>
    <w:rsid w:val="00A92C6F"/>
    <w:rsid w:val="00AC46BA"/>
    <w:rsid w:val="00AD0328"/>
    <w:rsid w:val="00AE4EC3"/>
    <w:rsid w:val="00AE75A2"/>
    <w:rsid w:val="00AF0C8E"/>
    <w:rsid w:val="00AF3795"/>
    <w:rsid w:val="00AF4C5B"/>
    <w:rsid w:val="00B0403B"/>
    <w:rsid w:val="00B30710"/>
    <w:rsid w:val="00B505DB"/>
    <w:rsid w:val="00B52EB7"/>
    <w:rsid w:val="00B619D8"/>
    <w:rsid w:val="00B6553C"/>
    <w:rsid w:val="00B84B59"/>
    <w:rsid w:val="00BB1AD5"/>
    <w:rsid w:val="00BB6F18"/>
    <w:rsid w:val="00BC5183"/>
    <w:rsid w:val="00BD562B"/>
    <w:rsid w:val="00C1483E"/>
    <w:rsid w:val="00C26234"/>
    <w:rsid w:val="00C479DE"/>
    <w:rsid w:val="00C53A85"/>
    <w:rsid w:val="00C6108D"/>
    <w:rsid w:val="00C65815"/>
    <w:rsid w:val="00C663F5"/>
    <w:rsid w:val="00C70B6D"/>
    <w:rsid w:val="00C83B65"/>
    <w:rsid w:val="00CB0646"/>
    <w:rsid w:val="00CE6F0C"/>
    <w:rsid w:val="00CF104E"/>
    <w:rsid w:val="00D0125E"/>
    <w:rsid w:val="00D0230C"/>
    <w:rsid w:val="00D33D7C"/>
    <w:rsid w:val="00D428BF"/>
    <w:rsid w:val="00D4460D"/>
    <w:rsid w:val="00D51989"/>
    <w:rsid w:val="00D91298"/>
    <w:rsid w:val="00D91A00"/>
    <w:rsid w:val="00DD4505"/>
    <w:rsid w:val="00DD5FE6"/>
    <w:rsid w:val="00E053A3"/>
    <w:rsid w:val="00E15ABC"/>
    <w:rsid w:val="00E26A3F"/>
    <w:rsid w:val="00E44427"/>
    <w:rsid w:val="00E802BE"/>
    <w:rsid w:val="00E81FAF"/>
    <w:rsid w:val="00EB6CB5"/>
    <w:rsid w:val="00ED4368"/>
    <w:rsid w:val="00EE279E"/>
    <w:rsid w:val="00EF411D"/>
    <w:rsid w:val="00F05922"/>
    <w:rsid w:val="00F27391"/>
    <w:rsid w:val="00F34EC7"/>
    <w:rsid w:val="00F433AC"/>
    <w:rsid w:val="00F4606D"/>
    <w:rsid w:val="00F604A9"/>
    <w:rsid w:val="00F67FF0"/>
    <w:rsid w:val="00F72A15"/>
    <w:rsid w:val="00F83C08"/>
    <w:rsid w:val="00FB0B84"/>
    <w:rsid w:val="00FB2D6D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04FF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9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83A9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83A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CC35-8BE6-472E-BD1B-9ECD1885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32</cp:revision>
  <cp:lastPrinted>2023-09-26T11:08:00Z</cp:lastPrinted>
  <dcterms:created xsi:type="dcterms:W3CDTF">2019-01-25T11:01:00Z</dcterms:created>
  <dcterms:modified xsi:type="dcterms:W3CDTF">2024-06-03T15:25:00Z</dcterms:modified>
</cp:coreProperties>
</file>