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23" w:rsidRPr="00E802BE" w:rsidRDefault="00374E23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E802BE">
        <w:rPr>
          <w:rFonts w:ascii="Times New Roman" w:hAnsi="Times New Roman"/>
          <w:i/>
          <w:sz w:val="24"/>
          <w:szCs w:val="24"/>
          <w:lang w:val="ro-MD"/>
        </w:rPr>
        <w:t>Anexa 1</w:t>
      </w:r>
    </w:p>
    <w:p w:rsidR="00374E23" w:rsidRPr="00E802BE" w:rsidRDefault="00F4606D" w:rsidP="00374E23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>
        <w:rPr>
          <w:rFonts w:ascii="Times New Roman" w:hAnsi="Times New Roman"/>
          <w:i/>
          <w:sz w:val="24"/>
          <w:szCs w:val="24"/>
          <w:lang w:val="ro-MD"/>
        </w:rPr>
        <w:t>la Invitația pentru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 w:rsidR="00D0125E" w:rsidRPr="00E802BE">
        <w:rPr>
          <w:rFonts w:ascii="Times New Roman" w:hAnsi="Times New Roman"/>
          <w:i/>
          <w:sz w:val="24"/>
          <w:szCs w:val="24"/>
          <w:lang w:val="ro-MD"/>
        </w:rPr>
        <w:t>prezentare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MD"/>
        </w:rPr>
        <w:t>de</w:t>
      </w:r>
      <w:r w:rsidR="00374E23" w:rsidRPr="00E802BE">
        <w:rPr>
          <w:rFonts w:ascii="Times New Roman" w:hAnsi="Times New Roman"/>
          <w:i/>
          <w:sz w:val="24"/>
          <w:szCs w:val="24"/>
          <w:lang w:val="ro-MD"/>
        </w:rPr>
        <w:t xml:space="preserve"> oferte  </w:t>
      </w:r>
    </w:p>
    <w:p w:rsidR="00374E23" w:rsidRPr="00D4460D" w:rsidRDefault="00921940" w:rsidP="00374E23">
      <w:pPr>
        <w:spacing w:after="0"/>
        <w:jc w:val="right"/>
        <w:rPr>
          <w:rFonts w:ascii="Times New Roman" w:hAnsi="Times New Roman"/>
          <w:i/>
          <w:sz w:val="24"/>
          <w:szCs w:val="24"/>
          <w:lang w:val="ro-MD"/>
        </w:rPr>
      </w:pPr>
      <w:r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>Nr.</w:t>
      </w:r>
      <w:r w:rsidR="009930C0">
        <w:rPr>
          <w:rFonts w:ascii="Times New Roman" w:eastAsia="Times New Roman" w:hAnsi="Times New Roman"/>
          <w:i/>
          <w:sz w:val="24"/>
          <w:szCs w:val="24"/>
          <w:lang w:val="ro-MD"/>
        </w:rPr>
        <w:t>50</w:t>
      </w:r>
      <w:r w:rsidR="00374E23" w:rsidRPr="00D4460D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="00374E23"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din </w:t>
      </w:r>
      <w:r w:rsidR="00CE6F0C" w:rsidRPr="00CE6F0C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val="ro-MD"/>
        </w:rPr>
        <w:t>1</w:t>
      </w:r>
      <w:r w:rsidR="009930C0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val="ro-MD"/>
        </w:rPr>
        <w:t>5</w:t>
      </w:r>
      <w:r w:rsidR="00CE6F0C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.11</w:t>
      </w:r>
      <w:r w:rsidR="00AE75A2" w:rsidRPr="00D4460D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.202</w:t>
      </w:r>
      <w:r w:rsidR="00DD5FE6">
        <w:rPr>
          <w:rFonts w:ascii="Times New Roman" w:eastAsia="Times New Roman" w:hAnsi="Times New Roman"/>
          <w:i/>
          <w:sz w:val="24"/>
          <w:szCs w:val="24"/>
          <w:u w:val="single"/>
          <w:lang w:val="ro-MD"/>
        </w:rPr>
        <w:t>3</w:t>
      </w:r>
      <w:r w:rsidR="00374E23" w:rsidRPr="00D4460D">
        <w:rPr>
          <w:rFonts w:ascii="Times New Roman" w:eastAsia="Times New Roman" w:hAnsi="Times New Roman"/>
          <w:i/>
          <w:sz w:val="24"/>
          <w:szCs w:val="24"/>
          <w:lang w:val="ro-MD"/>
        </w:rPr>
        <w:t xml:space="preserve"> </w:t>
      </w:r>
    </w:p>
    <w:p w:rsidR="00374E23" w:rsidRPr="00E802BE" w:rsidRDefault="00374E23" w:rsidP="00374E23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Beneficiar: A.O. </w:t>
      </w: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„</w:t>
      </w: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Inițiativa Pozitivă” </w:t>
      </w:r>
    </w:p>
    <w:p w:rsidR="00883A9A" w:rsidRDefault="00374E23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Furnizor:_______________________</w:t>
      </w:r>
    </w:p>
    <w:p w:rsidR="00883A9A" w:rsidRDefault="00883A9A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Default="00883A9A" w:rsidP="00883A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883A9A" w:rsidRPr="003B7FCC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Lot 1 (Lot </w:t>
      </w:r>
      <w:proofErr w:type="spellStart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unic</w:t>
      </w:r>
      <w:proofErr w:type="spellEnd"/>
      <w:r w:rsidRPr="003B7FCC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)</w:t>
      </w:r>
    </w:p>
    <w:p w:rsidR="00883A9A" w:rsidRPr="003F78C5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Certificate/vouchere valorice </w:t>
      </w:r>
    </w:p>
    <w:p w:rsidR="00883A9A" w:rsidRPr="003F78C5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>- 1656 un cu nominalul de 50 MDL</w:t>
      </w:r>
    </w:p>
    <w:p w:rsidR="00883A9A" w:rsidRPr="003F78C5" w:rsidRDefault="00883A9A" w:rsidP="00883A9A">
      <w:pPr>
        <w:pStyle w:val="a8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 w:rsidRPr="003F78C5">
        <w:rPr>
          <w:rFonts w:ascii="Times New Roman" w:eastAsia="Times New Roman" w:hAnsi="Times New Roman"/>
          <w:b/>
          <w:sz w:val="24"/>
          <w:szCs w:val="24"/>
          <w:lang w:val="ro-MD"/>
        </w:rPr>
        <w:t>- 1472 un cu nominalul de 100 MDL</w:t>
      </w:r>
    </w:p>
    <w:p w:rsidR="00883A9A" w:rsidRDefault="00883A9A" w:rsidP="007022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9930C0" w:rsidRPr="001576CE" w:rsidRDefault="00827B69" w:rsidP="00883A9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Criteriile de Eligibilitate </w:t>
      </w:r>
      <w:r w:rsidR="00C53A85" w:rsidRPr="001576C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solicitate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4819"/>
        <w:gridCol w:w="2693"/>
        <w:gridCol w:w="2268"/>
      </w:tblGrid>
      <w:tr w:rsidR="00883A9A" w:rsidTr="008F416A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4819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solicitate</w:t>
            </w:r>
          </w:p>
        </w:tc>
        <w:tc>
          <w:tcPr>
            <w:tcW w:w="22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Documente confirmative prezentate</w:t>
            </w:r>
          </w:p>
        </w:tc>
      </w:tr>
      <w:tr w:rsidR="00883A9A" w:rsidTr="00146B7E">
        <w:trPr>
          <w:trHeight w:val="1647"/>
        </w:trPr>
        <w:tc>
          <w:tcPr>
            <w:tcW w:w="568" w:type="dxa"/>
            <w:vAlign w:val="center"/>
          </w:tcPr>
          <w:p w:rsidR="00883A9A" w:rsidRPr="006F2DA7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1.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juridice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înregistrate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Republica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Moldova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licențiate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bunurilor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rețea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magazine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Chișinău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Bălți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Ungheni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Fălești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Rîșcani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Soroca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Drochia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Rezina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Orhei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Cahul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Cantemir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Ceadîr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Lunga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Varnița</w:t>
            </w:r>
            <w:proofErr w:type="spellEnd"/>
          </w:p>
        </w:tc>
        <w:tc>
          <w:tcPr>
            <w:tcW w:w="2693" w:type="dxa"/>
            <w:vAlign w:val="center"/>
          </w:tcPr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Certificat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de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înregistrare</w:t>
            </w:r>
          </w:p>
          <w:p w:rsidR="008F416A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-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Licenț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a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de activitate</w:t>
            </w:r>
          </w:p>
          <w:p w:rsidR="00883A9A" w:rsidRPr="007022A3" w:rsidRDefault="008F416A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pentru </w:t>
            </w:r>
            <w:r w:rsidR="005B6C12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lista </w:t>
            </w:r>
            <w:r w:rsidR="00A92C6F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rețelelor de magazine</w:t>
            </w:r>
            <w:r w:rsidR="00BD562B" w:rsidRPr="007022A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din gestiune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2.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demonstreze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capa</w:t>
            </w:r>
            <w:r w:rsidRPr="00883A9A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3E3A0E">
              <w:rPr>
                <w:rFonts w:ascii="Times New Roman" w:hAnsi="Times New Roman"/>
                <w:sz w:val="24"/>
                <w:szCs w:val="24"/>
              </w:rPr>
              <w:t>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tehn</w:t>
            </w:r>
            <w:r w:rsidR="00BD562B">
              <w:rPr>
                <w:rFonts w:ascii="Times New Roman" w:hAnsi="Times New Roman"/>
                <w:sz w:val="24"/>
                <w:szCs w:val="24"/>
              </w:rPr>
              <w:t>ică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gestionare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Pr="007022A3" w:rsidRDefault="0025532D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="007022A3"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 w:rsidR="00F72A15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3.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prețul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voucherelor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corespundă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valorii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nominale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solicitate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83A9A" w:rsidRDefault="00F72A15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C83B65">
        <w:trPr>
          <w:trHeight w:val="1732"/>
        </w:trPr>
        <w:tc>
          <w:tcPr>
            <w:tcW w:w="568" w:type="dxa"/>
            <w:vAlign w:val="center"/>
          </w:tcPr>
          <w:p w:rsidR="00883A9A" w:rsidRDefault="00883A9A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4.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aibă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număr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serie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cod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QR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baza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căruia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fie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posibilă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unui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raport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privind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utilizarea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voucherului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că</w:t>
            </w:r>
            <w:r w:rsidR="00BD562B">
              <w:rPr>
                <w:rFonts w:ascii="Times New Roman" w:hAnsi="Times New Roman"/>
                <w:sz w:val="24"/>
                <w:szCs w:val="24"/>
              </w:rPr>
              <w:t>tre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beneficiar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0B66E0" w:rsidTr="00146B7E">
        <w:tc>
          <w:tcPr>
            <w:tcW w:w="568" w:type="dxa"/>
            <w:vAlign w:val="center"/>
          </w:tcPr>
          <w:p w:rsidR="000B66E0" w:rsidRDefault="000B66E0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5.</w:t>
            </w:r>
          </w:p>
        </w:tc>
        <w:tc>
          <w:tcPr>
            <w:tcW w:w="4819" w:type="dxa"/>
            <w:vAlign w:val="center"/>
          </w:tcPr>
          <w:p w:rsidR="000B66E0" w:rsidRPr="000B66E0" w:rsidRDefault="00C83B65" w:rsidP="00146B7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B66E0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Materialul voucherului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– carton sau plastic</w:t>
            </w:r>
          </w:p>
        </w:tc>
        <w:tc>
          <w:tcPr>
            <w:tcW w:w="2693" w:type="dxa"/>
            <w:vAlign w:val="center"/>
          </w:tcPr>
          <w:p w:rsidR="000B66E0" w:rsidRDefault="00C83B65" w:rsidP="00883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0B66E0" w:rsidRDefault="000B66E0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883A9A" w:rsidTr="00146B7E">
        <w:tc>
          <w:tcPr>
            <w:tcW w:w="568" w:type="dxa"/>
            <w:vAlign w:val="center"/>
          </w:tcPr>
          <w:p w:rsidR="00883A9A" w:rsidRDefault="00C83B65" w:rsidP="0088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6</w:t>
            </w:r>
            <w:r w:rsidR="00883A9A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.</w:t>
            </w:r>
          </w:p>
        </w:tc>
        <w:tc>
          <w:tcPr>
            <w:tcW w:w="4819" w:type="dxa"/>
            <w:vAlign w:val="center"/>
          </w:tcPr>
          <w:p w:rsidR="00883A9A" w:rsidRPr="003E3A0E" w:rsidRDefault="00883A9A" w:rsidP="0014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Ofertantul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vânzătorul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disponibilitatea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emite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voucherele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zile</w:t>
            </w:r>
            <w:proofErr w:type="spellEnd"/>
            <w:r w:rsidRPr="003E3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A0E">
              <w:rPr>
                <w:rFonts w:ascii="Times New Roman" w:hAnsi="Times New Roman"/>
                <w:sz w:val="24"/>
                <w:szCs w:val="24"/>
              </w:rPr>
              <w:t>luc</w:t>
            </w:r>
            <w:r w:rsidR="00BD562B">
              <w:rPr>
                <w:rFonts w:ascii="Times New Roman" w:hAnsi="Times New Roman"/>
                <w:sz w:val="24"/>
                <w:szCs w:val="24"/>
              </w:rPr>
              <w:t>rătoare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 w:rsidR="00BD5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562B">
              <w:rPr>
                <w:rFonts w:ascii="Times New Roman" w:hAnsi="Times New Roman"/>
                <w:sz w:val="24"/>
                <w:szCs w:val="24"/>
              </w:rPr>
              <w:t>transferului</w:t>
            </w:r>
            <w:proofErr w:type="spellEnd"/>
          </w:p>
        </w:tc>
        <w:tc>
          <w:tcPr>
            <w:tcW w:w="2693" w:type="dxa"/>
            <w:vAlign w:val="center"/>
          </w:tcPr>
          <w:p w:rsidR="00883A9A" w:rsidRDefault="00146B7E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- </w:t>
            </w:r>
            <w:r w:rsidRPr="007022A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Scrisoare de confirmare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sau alt document confirmativ</w:t>
            </w:r>
          </w:p>
        </w:tc>
        <w:tc>
          <w:tcPr>
            <w:tcW w:w="2268" w:type="dxa"/>
          </w:tcPr>
          <w:p w:rsidR="00883A9A" w:rsidRDefault="00883A9A" w:rsidP="00883A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</w:tbl>
    <w:p w:rsidR="005517D3" w:rsidRPr="00694923" w:rsidRDefault="005517D3" w:rsidP="005517D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9930C0" w:rsidRPr="00CE6F0C" w:rsidRDefault="005517D3" w:rsidP="00CE6F0C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- Toate documentele prezentate trebuie să fie avizate de către ofertant (vânzător)</w:t>
      </w:r>
    </w:p>
    <w:p w:rsidR="00827B69" w:rsidRPr="00E802BE" w:rsidRDefault="00827B69" w:rsidP="00827B69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65247A" w:rsidRPr="001576CE" w:rsidRDefault="001576CE" w:rsidP="0065247A">
      <w:pPr>
        <w:spacing w:after="0" w:line="240" w:lineRule="auto"/>
        <w:ind w:left="-284" w:firstLine="142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MD"/>
        </w:rPr>
        <w:t>Oferta de pre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ț</w:t>
      </w:r>
    </w:p>
    <w:tbl>
      <w:tblPr>
        <w:tblpPr w:leftFromText="180" w:rightFromText="180" w:vertAnchor="text" w:horzAnchor="margin" w:tblpX="-147" w:tblpY="1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2126"/>
        <w:gridCol w:w="2693"/>
        <w:gridCol w:w="1985"/>
      </w:tblGrid>
      <w:tr w:rsidR="00B52EB7" w:rsidRPr="00E802BE" w:rsidTr="00B52EB7">
        <w:trPr>
          <w:trHeight w:val="1129"/>
        </w:trPr>
        <w:tc>
          <w:tcPr>
            <w:tcW w:w="846" w:type="dxa"/>
            <w:vAlign w:val="center"/>
          </w:tcPr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produs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 și cerințe</w:t>
            </w:r>
            <w:r w:rsidR="0040568F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de ambalare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Specificații Furnizor</w:t>
            </w:r>
          </w:p>
          <w:p w:rsidR="00B52EB7" w:rsidRPr="00E802BE" w:rsidRDefault="00B52EB7" w:rsidP="00B52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  <w:tc>
          <w:tcPr>
            <w:tcW w:w="1985" w:type="dxa"/>
            <w:vAlign w:val="center"/>
          </w:tcPr>
          <w:p w:rsidR="00B52EB7" w:rsidRPr="00E802BE" w:rsidRDefault="00B52EB7" w:rsidP="00B52EB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Preț unitar MDL</w:t>
            </w:r>
            <w:r w:rsidR="00A20A8D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la cota TVA 0%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E802BE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[a se completa de către Furnizor]</w:t>
            </w: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Orez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Pr="00E802BE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290658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290658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Hrișcă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Fasole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873FE2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Macaroane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Lapte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Chefir 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Smântână 20%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Brânză vaci 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Unt 82,5%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200 gr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Ouă găină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 buc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Ceai pachețele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100 pachețele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Zahăr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Pr="00873FE2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Suc în asortiment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litru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Săpun lichid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500 ml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Șampon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400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Balsam pentru păr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250 ml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036EDC">
        <w:trPr>
          <w:trHeight w:val="413"/>
        </w:trPr>
        <w:tc>
          <w:tcPr>
            <w:tcW w:w="846" w:type="dxa"/>
            <w:vAlign w:val="center"/>
          </w:tcPr>
          <w:p w:rsidR="00B52EB7" w:rsidRPr="00E802BE" w:rsidRDefault="00B52EB7" w:rsidP="000B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Praf pentru rufe (manual)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EB7" w:rsidRDefault="00B52EB7" w:rsidP="00036E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 kg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B52EB7" w:rsidRPr="00E802BE" w:rsidTr="00E26A3F">
        <w:trPr>
          <w:trHeight w:val="328"/>
        </w:trPr>
        <w:tc>
          <w:tcPr>
            <w:tcW w:w="8075" w:type="dxa"/>
            <w:gridSpan w:val="4"/>
            <w:vAlign w:val="center"/>
          </w:tcPr>
          <w:p w:rsidR="00B52EB7" w:rsidRPr="00B52EB7" w:rsidRDefault="00B52EB7" w:rsidP="00C479DE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B52EB7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Total MDL </w:t>
            </w:r>
          </w:p>
        </w:tc>
        <w:tc>
          <w:tcPr>
            <w:tcW w:w="1985" w:type="dxa"/>
          </w:tcPr>
          <w:p w:rsidR="00B52EB7" w:rsidRPr="00E802BE" w:rsidRDefault="00B52EB7" w:rsidP="000B52CA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Notă! 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- Evaluarea ofertelor 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de preț</w:t>
      </w: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 xml:space="preserve"> va fi efectuată doar pentru ofertanții eligibili!!</w:t>
      </w:r>
    </w:p>
    <w:p w:rsidR="00694923" w:rsidRPr="00694923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Oferta de preț va cuprinde lista de produse specificat în anexa №.1. Lista produselor solicitate conține pachetul minim de produse, necesare pentru evaluarea finală a furnizorului.</w:t>
      </w:r>
    </w:p>
    <w:p w:rsidR="00A20A8D" w:rsidRDefault="00694923" w:rsidP="00694923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694923">
        <w:rPr>
          <w:rFonts w:ascii="Times New Roman" w:hAnsi="Times New Roman"/>
          <w:b/>
          <w:bCs/>
          <w:sz w:val="24"/>
          <w:szCs w:val="24"/>
          <w:lang w:val="ro-MD"/>
        </w:rPr>
        <w:t>- Produsele achiziționate nu se vor limita doar la această listă ci vor cuprinde toată gama produselor disponibile în magazin.</w:t>
      </w:r>
    </w:p>
    <w:p w:rsidR="00146B7E" w:rsidRPr="00146B7E" w:rsidRDefault="00146B7E" w:rsidP="00146B7E">
      <w:pPr>
        <w:tabs>
          <w:tab w:val="left" w:pos="284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374E23" w:rsidRPr="00E802BE" w:rsidRDefault="00374E23" w:rsidP="00FF4497">
      <w:pPr>
        <w:numPr>
          <w:ilvl w:val="0"/>
          <w:numId w:val="1"/>
        </w:numPr>
        <w:tabs>
          <w:tab w:val="left" w:pos="284"/>
        </w:tabs>
        <w:spacing w:after="0"/>
        <w:ind w:left="-142" w:firstLine="0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proofErr w:type="spellStart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>Recepţia</w:t>
      </w:r>
      <w:proofErr w:type="spellEnd"/>
      <w:r w:rsidRPr="00B619D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MD"/>
        </w:rPr>
        <w:t xml:space="preserve"> produselor</w:t>
      </w:r>
      <w:r w:rsidR="004310F1" w:rsidRPr="00B619D8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:</w:t>
      </w:r>
      <w:r w:rsidRP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se va face</w:t>
      </w:r>
      <w:r w:rsidR="00B619D8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prin semnarea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 xml:space="preserve">documentelor confirmative </w:t>
      </w:r>
      <w:r w:rsidRPr="00B619D8">
        <w:rPr>
          <w:rFonts w:ascii="Times New Roman" w:eastAsia="Times New Roman" w:hAnsi="Times New Roman"/>
          <w:sz w:val="24"/>
          <w:szCs w:val="24"/>
          <w:lang w:val="ro-MD"/>
        </w:rPr>
        <w:t xml:space="preserve">de către reprezentantul autorizat al A.O. „Inițiativa Pozitivă”. </w:t>
      </w:r>
    </w:p>
    <w:p w:rsidR="00495CBF" w:rsidRPr="00E802BE" w:rsidRDefault="00374E23" w:rsidP="002E3F8B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hanging="50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u w:val="single"/>
          <w:lang w:val="ro-MD"/>
        </w:rPr>
        <w:t>Plățile:</w:t>
      </w:r>
      <w:r w:rsidRPr="00E802BE">
        <w:rPr>
          <w:rFonts w:ascii="Times New Roman" w:hAnsi="Times New Roman"/>
          <w:sz w:val="24"/>
          <w:szCs w:val="24"/>
          <w:lang w:val="ro-MD"/>
        </w:rPr>
        <w:t xml:space="preserve"> plata va fi efectuată după cum urmează:</w:t>
      </w:r>
    </w:p>
    <w:p w:rsidR="00495CBF" w:rsidRPr="00E802BE" w:rsidRDefault="00495CBF" w:rsidP="002E3F8B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E802BE">
        <w:rPr>
          <w:rFonts w:ascii="Times New Roman" w:hAnsi="Times New Roman"/>
          <w:b/>
          <w:sz w:val="24"/>
          <w:szCs w:val="24"/>
          <w:lang w:val="ro-MD"/>
        </w:rPr>
        <w:t>-</w:t>
      </w:r>
      <w:r w:rsidRPr="00E802BE">
        <w:rPr>
          <w:rFonts w:ascii="Times New Roman" w:hAnsi="Times New Roman"/>
          <w:b/>
          <w:i/>
          <w:sz w:val="24"/>
          <w:szCs w:val="24"/>
          <w:lang w:val="ro-MD"/>
        </w:rPr>
        <w:t xml:space="preserve"> 100% </w:t>
      </w:r>
      <w:r w:rsidRPr="00E802BE">
        <w:rPr>
          <w:rFonts w:ascii="Times New Roman" w:hAnsi="Times New Roman"/>
          <w:sz w:val="24"/>
          <w:szCs w:val="24"/>
          <w:lang w:val="ro-MD"/>
        </w:rPr>
        <w:t>în avans,</w:t>
      </w:r>
      <w:r w:rsidR="00FF4497">
        <w:rPr>
          <w:rFonts w:ascii="Times New Roman" w:hAnsi="Times New Roman"/>
          <w:sz w:val="24"/>
          <w:szCs w:val="24"/>
          <w:lang w:val="ro-MD"/>
        </w:rPr>
        <w:t xml:space="preserve"> conform contului spre plată.</w:t>
      </w:r>
    </w:p>
    <w:p w:rsidR="00374E23" w:rsidRPr="00E802BE" w:rsidRDefault="00E81FAF" w:rsidP="002E3F8B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4</w:t>
      </w:r>
      <w:r w:rsidR="00F83C08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Ambalare: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 </w:t>
      </w:r>
      <w:r w:rsidR="00FF4497">
        <w:rPr>
          <w:rFonts w:ascii="Times New Roman" w:eastAsia="Times New Roman" w:hAnsi="Times New Roman"/>
          <w:sz w:val="24"/>
          <w:szCs w:val="24"/>
          <w:lang w:val="ro-MD"/>
        </w:rPr>
        <w:t>conform cerințelor</w:t>
      </w:r>
      <w:r w:rsidR="004F45B4">
        <w:rPr>
          <w:rFonts w:ascii="Times New Roman" w:eastAsia="Times New Roman" w:hAnsi="Times New Roman"/>
          <w:sz w:val="24"/>
          <w:szCs w:val="24"/>
          <w:lang w:val="ro-MD"/>
        </w:rPr>
        <w:t xml:space="preserve"> contractuale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  <w:r w:rsidR="000B66E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</w:p>
    <w:p w:rsidR="00495CBF" w:rsidRPr="00E802BE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5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Defecte: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Toate defectele vor fi corectate de către furnizor, fără nici un cost pentru A.O. „Inițiativa Pozitivă” în termen de 10 zile de la data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anunțului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F67FF0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lastRenderedPageBreak/>
        <w:t>6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. 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Neexecutare</w:t>
      </w:r>
      <w:r w:rsidR="00374E23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A.O. „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poate anula contractul dacă Furnizorul nu livrează </w:t>
      </w:r>
      <w:r w:rsidR="005517D3">
        <w:rPr>
          <w:rFonts w:ascii="Times New Roman" w:eastAsia="Times New Roman" w:hAnsi="Times New Roman"/>
          <w:sz w:val="24"/>
          <w:szCs w:val="24"/>
          <w:lang w:val="ro-MD"/>
        </w:rPr>
        <w:t>bunurilor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în conformitate cu termenii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EB6CB5" w:rsidRPr="00E802BE">
        <w:rPr>
          <w:rFonts w:ascii="Times New Roman" w:eastAsia="Times New Roman" w:hAnsi="Times New Roman"/>
          <w:sz w:val="24"/>
          <w:szCs w:val="24"/>
          <w:lang w:val="ro-MD"/>
        </w:rPr>
        <w:t>condițiile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mai sus, după o notificare prealabilă de 10 zile primită de la Beneficiar, fără a avea vreo </w:t>
      </w:r>
      <w:r w:rsidR="00AF3795" w:rsidRPr="00E802BE">
        <w:rPr>
          <w:rFonts w:ascii="Times New Roman" w:eastAsia="Times New Roman" w:hAnsi="Times New Roman"/>
          <w:sz w:val="24"/>
          <w:szCs w:val="24"/>
          <w:lang w:val="ro-MD"/>
        </w:rPr>
        <w:t>obligație</w:t>
      </w:r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>faţă</w:t>
      </w:r>
      <w:proofErr w:type="spellEnd"/>
      <w:r w:rsidR="00374E23" w:rsidRPr="00E802BE">
        <w:rPr>
          <w:rFonts w:ascii="Times New Roman" w:eastAsia="Times New Roman" w:hAnsi="Times New Roman"/>
          <w:sz w:val="24"/>
          <w:szCs w:val="24"/>
          <w:lang w:val="ro-MD"/>
        </w:rPr>
        <w:t xml:space="preserve"> de Furnizor.</w:t>
      </w:r>
    </w:p>
    <w:p w:rsidR="00AF3795" w:rsidRDefault="00E81FAF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7</w:t>
      </w:r>
      <w:r w:rsidR="00F67FF0" w:rsidRPr="00F67FF0"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  <w:r w:rsidR="00F67FF0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Termenii de executare a contractului</w:t>
      </w:r>
      <w:r w:rsidR="00AF3795"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: </w:t>
      </w:r>
      <w:r w:rsidR="004F45B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noiembrie 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>-</w:t>
      </w:r>
      <w:r w:rsidR="004F45B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decembrie </w:t>
      </w:r>
      <w:r w:rsidR="001364B5" w:rsidRPr="001364B5">
        <w:rPr>
          <w:rFonts w:ascii="Times New Roman" w:eastAsia="Times New Roman" w:hAnsi="Times New Roman"/>
          <w:b/>
          <w:sz w:val="24"/>
          <w:szCs w:val="24"/>
          <w:lang w:val="ro-MD"/>
        </w:rPr>
        <w:t>202</w:t>
      </w:r>
      <w:r w:rsidR="00843484">
        <w:rPr>
          <w:rFonts w:ascii="Times New Roman" w:eastAsia="Times New Roman" w:hAnsi="Times New Roman"/>
          <w:b/>
          <w:sz w:val="24"/>
          <w:szCs w:val="24"/>
          <w:lang w:val="ro-MD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.</w:t>
      </w:r>
    </w:p>
    <w:p w:rsidR="005F3B09" w:rsidRDefault="005F3B09" w:rsidP="005F3B09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8. Altele</w:t>
      </w:r>
      <w:r w:rsidRPr="00E802BE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</w:p>
    <w:p w:rsid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8.1.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Cheltuielile legate de emiterea 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voucherelor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 vor fi suportate de către ofertant (vânzător);</w:t>
      </w:r>
    </w:p>
    <w:p w:rsidR="005F3B09" w:rsidRPr="005555C7" w:rsidRDefault="005555C7" w:rsidP="005555C7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2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se va asigura că se aplică următoarele interdicții: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schimbarea voucherului pe bani, inclusiv în cazul returnării produselor achiziționate (dacă acest lucru (returnarea) este prevăzut de lege);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achi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ziționarea de băuturi alcoolice și produselor din tutun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357690" w:rsidRDefault="005555C7" w:rsidP="005555C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Ofertantul va aplica următoarele drepturi: </w:t>
      </w:r>
    </w:p>
    <w:p w:rsidR="005F3B09" w:rsidRPr="00357690" w:rsidRDefault="005F3B09" w:rsidP="005F3B09">
      <w:pPr>
        <w:spacing w:after="0"/>
        <w:ind w:left="66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acceptarea returnării produselor (conform reglementărilor în vigoare) și înlocuirea acestora cu produse de aceeași valoare; </w:t>
      </w:r>
    </w:p>
    <w:p w:rsidR="005F3B09" w:rsidRPr="00357690" w:rsidRDefault="005F3B09" w:rsidP="005F3B0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- </w:t>
      </w:r>
      <w:r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procurarea de produse cu un preț mai mare decât valoarea nominală indicată în voucher, doar cu achitarea din buzunar, de către cumpărător (beneficiar), a diferenței de preț;</w:t>
      </w:r>
    </w:p>
    <w:p w:rsidR="005F3B09" w:rsidRPr="00560B14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- v</w:t>
      </w:r>
      <w:r w:rsidR="005F3B09" w:rsidRPr="00560B14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oucherul poate fi restituit în caz de deteriorare;</w:t>
      </w:r>
    </w:p>
    <w:p w:rsidR="005F3B09" w:rsidRPr="00357690" w:rsidRDefault="004A09E8" w:rsidP="004A09E8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  <w:lang w:val="ro-MD"/>
        </w:rPr>
        <w:t xml:space="preserve">. </w:t>
      </w:r>
      <w:r w:rsidR="005F3B09" w:rsidRPr="00357690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Voucherul va avea un termen de valabilitate care nu va depăși 31.12.202</w:t>
      </w:r>
      <w:r w:rsidR="005F3B09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4</w:t>
      </w:r>
      <w:r w:rsidR="00344FDE">
        <w:rPr>
          <w:rFonts w:ascii="Times New Roman" w:hAnsi="Times New Roman"/>
          <w:sz w:val="24"/>
          <w:szCs w:val="24"/>
          <w:shd w:val="clear" w:color="auto" w:fill="FFFFFF"/>
          <w:lang w:val="ro-MD"/>
        </w:rPr>
        <w:t>.</w:t>
      </w:r>
    </w:p>
    <w:p w:rsidR="005F3B09" w:rsidRPr="00E802BE" w:rsidRDefault="005F3B09" w:rsidP="00F67FF0">
      <w:pPr>
        <w:tabs>
          <w:tab w:val="left" w:pos="142"/>
        </w:tabs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374E23" w:rsidRPr="00E802BE" w:rsidRDefault="00374E23" w:rsidP="004310F1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highlight w:val="yellow"/>
          <w:lang w:val="ro-MD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Date despre companie: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Denumirea Companiei: ___________________________________________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Cod fiscal:  ____________________________________________________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Director: ______________________________________________________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(Numele, Prenumele)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Date de contact (adresă; telefon; fax; e-mail) și rechizitele bancare _________________________</w:t>
      </w:r>
    </w:p>
    <w:p w:rsidR="00374E23" w:rsidRPr="00E802BE" w:rsidRDefault="00374E23" w:rsidP="004310F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Data ofertei:    __________________________________      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/>
          <w:color w:val="000000"/>
          <w:sz w:val="24"/>
          <w:szCs w:val="24"/>
          <w:lang w:val="ro-MD" w:eastAsia="ru-RU"/>
        </w:rPr>
        <w:t>___________________________            _____________________________</w:t>
      </w:r>
    </w:p>
    <w:p w:rsidR="00374E23" w:rsidRPr="00E802BE" w:rsidRDefault="00374E23" w:rsidP="004310F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                     Semnătura</w:t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</w:r>
      <w:r w:rsidRPr="00E802B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ab/>
        <w:t xml:space="preserve">                                               L.Ș.</w:t>
      </w:r>
    </w:p>
    <w:p w:rsidR="00F433AC" w:rsidRPr="00357690" w:rsidRDefault="00F433AC" w:rsidP="00AF0C8E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val="ro-MD"/>
        </w:rPr>
      </w:pPr>
    </w:p>
    <w:p w:rsidR="000E2158" w:rsidRPr="00E802BE" w:rsidRDefault="000E2158">
      <w:pPr>
        <w:rPr>
          <w:lang w:val="ro-MD"/>
        </w:rPr>
      </w:pPr>
    </w:p>
    <w:sectPr w:rsidR="000E2158" w:rsidRPr="00E802BE" w:rsidSect="008F416A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B83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A02E90"/>
    <w:multiLevelType w:val="hybridMultilevel"/>
    <w:tmpl w:val="5AB0A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05514"/>
    <w:rsid w:val="00027797"/>
    <w:rsid w:val="00027B9E"/>
    <w:rsid w:val="00034C0F"/>
    <w:rsid w:val="00036C56"/>
    <w:rsid w:val="00036EDC"/>
    <w:rsid w:val="000429C2"/>
    <w:rsid w:val="000465DA"/>
    <w:rsid w:val="000514D0"/>
    <w:rsid w:val="0007118B"/>
    <w:rsid w:val="000B4F37"/>
    <w:rsid w:val="000B52CA"/>
    <w:rsid w:val="000B66E0"/>
    <w:rsid w:val="000C0069"/>
    <w:rsid w:val="000C704C"/>
    <w:rsid w:val="000D34C9"/>
    <w:rsid w:val="000D40D8"/>
    <w:rsid w:val="000E2158"/>
    <w:rsid w:val="001364B5"/>
    <w:rsid w:val="00146B7E"/>
    <w:rsid w:val="001557A2"/>
    <w:rsid w:val="001576CE"/>
    <w:rsid w:val="00166756"/>
    <w:rsid w:val="00190412"/>
    <w:rsid w:val="0019264B"/>
    <w:rsid w:val="001E7C57"/>
    <w:rsid w:val="002366AF"/>
    <w:rsid w:val="0025532D"/>
    <w:rsid w:val="0027362C"/>
    <w:rsid w:val="00281A69"/>
    <w:rsid w:val="00290658"/>
    <w:rsid w:val="002C3430"/>
    <w:rsid w:val="002C3BB9"/>
    <w:rsid w:val="002E3F8B"/>
    <w:rsid w:val="002F0EE4"/>
    <w:rsid w:val="00344FDE"/>
    <w:rsid w:val="00374E23"/>
    <w:rsid w:val="00384C63"/>
    <w:rsid w:val="003C39CB"/>
    <w:rsid w:val="003E3A0E"/>
    <w:rsid w:val="0040568F"/>
    <w:rsid w:val="004310F1"/>
    <w:rsid w:val="00447898"/>
    <w:rsid w:val="00465B54"/>
    <w:rsid w:val="00495CBF"/>
    <w:rsid w:val="004A09E8"/>
    <w:rsid w:val="004A17AC"/>
    <w:rsid w:val="004C1DBA"/>
    <w:rsid w:val="004D0D4F"/>
    <w:rsid w:val="004D2E64"/>
    <w:rsid w:val="004E3D76"/>
    <w:rsid w:val="004F45B4"/>
    <w:rsid w:val="004F71C8"/>
    <w:rsid w:val="00533121"/>
    <w:rsid w:val="00545185"/>
    <w:rsid w:val="0055034A"/>
    <w:rsid w:val="005517D3"/>
    <w:rsid w:val="005555C7"/>
    <w:rsid w:val="005774A8"/>
    <w:rsid w:val="005923E0"/>
    <w:rsid w:val="005B6C12"/>
    <w:rsid w:val="005E2E7A"/>
    <w:rsid w:val="005F3B09"/>
    <w:rsid w:val="00615A7A"/>
    <w:rsid w:val="00642F4D"/>
    <w:rsid w:val="0065247A"/>
    <w:rsid w:val="00675A98"/>
    <w:rsid w:val="006814B6"/>
    <w:rsid w:val="00694923"/>
    <w:rsid w:val="006A217F"/>
    <w:rsid w:val="006E7BBD"/>
    <w:rsid w:val="006F2DA7"/>
    <w:rsid w:val="007022A3"/>
    <w:rsid w:val="00710655"/>
    <w:rsid w:val="007117DC"/>
    <w:rsid w:val="00791485"/>
    <w:rsid w:val="007D35A6"/>
    <w:rsid w:val="00804EBA"/>
    <w:rsid w:val="00827B69"/>
    <w:rsid w:val="0084012A"/>
    <w:rsid w:val="00843484"/>
    <w:rsid w:val="00860939"/>
    <w:rsid w:val="008720B8"/>
    <w:rsid w:val="00873D6F"/>
    <w:rsid w:val="00873FE2"/>
    <w:rsid w:val="00883A9A"/>
    <w:rsid w:val="008A7A61"/>
    <w:rsid w:val="008C76D8"/>
    <w:rsid w:val="008D5B0F"/>
    <w:rsid w:val="008F416A"/>
    <w:rsid w:val="00906B1E"/>
    <w:rsid w:val="00921940"/>
    <w:rsid w:val="009930C0"/>
    <w:rsid w:val="009A23DC"/>
    <w:rsid w:val="009B3814"/>
    <w:rsid w:val="00A20A8D"/>
    <w:rsid w:val="00A26828"/>
    <w:rsid w:val="00A71FF5"/>
    <w:rsid w:val="00A72C6E"/>
    <w:rsid w:val="00A92664"/>
    <w:rsid w:val="00A92C6F"/>
    <w:rsid w:val="00AC46BA"/>
    <w:rsid w:val="00AD0328"/>
    <w:rsid w:val="00AE4EC3"/>
    <w:rsid w:val="00AE75A2"/>
    <w:rsid w:val="00AF0C8E"/>
    <w:rsid w:val="00AF3795"/>
    <w:rsid w:val="00AF4C5B"/>
    <w:rsid w:val="00B0403B"/>
    <w:rsid w:val="00B30710"/>
    <w:rsid w:val="00B505DB"/>
    <w:rsid w:val="00B52EB7"/>
    <w:rsid w:val="00B619D8"/>
    <w:rsid w:val="00B6553C"/>
    <w:rsid w:val="00B84B59"/>
    <w:rsid w:val="00BB1AD5"/>
    <w:rsid w:val="00BB6F18"/>
    <w:rsid w:val="00BC5183"/>
    <w:rsid w:val="00BD562B"/>
    <w:rsid w:val="00C1483E"/>
    <w:rsid w:val="00C26234"/>
    <w:rsid w:val="00C479DE"/>
    <w:rsid w:val="00C53A85"/>
    <w:rsid w:val="00C6108D"/>
    <w:rsid w:val="00C65815"/>
    <w:rsid w:val="00C663F5"/>
    <w:rsid w:val="00C70B6D"/>
    <w:rsid w:val="00C83B65"/>
    <w:rsid w:val="00CB0646"/>
    <w:rsid w:val="00CE6F0C"/>
    <w:rsid w:val="00CF104E"/>
    <w:rsid w:val="00D0125E"/>
    <w:rsid w:val="00D0230C"/>
    <w:rsid w:val="00D33D7C"/>
    <w:rsid w:val="00D428BF"/>
    <w:rsid w:val="00D4460D"/>
    <w:rsid w:val="00D51989"/>
    <w:rsid w:val="00D91A00"/>
    <w:rsid w:val="00DD4505"/>
    <w:rsid w:val="00DD5FE6"/>
    <w:rsid w:val="00E053A3"/>
    <w:rsid w:val="00E15ABC"/>
    <w:rsid w:val="00E26A3F"/>
    <w:rsid w:val="00E44427"/>
    <w:rsid w:val="00E802BE"/>
    <w:rsid w:val="00E81FAF"/>
    <w:rsid w:val="00EB6CB5"/>
    <w:rsid w:val="00ED4368"/>
    <w:rsid w:val="00EE279E"/>
    <w:rsid w:val="00EF411D"/>
    <w:rsid w:val="00F05922"/>
    <w:rsid w:val="00F27391"/>
    <w:rsid w:val="00F34EC7"/>
    <w:rsid w:val="00F433AC"/>
    <w:rsid w:val="00F4606D"/>
    <w:rsid w:val="00F67FF0"/>
    <w:rsid w:val="00F72A15"/>
    <w:rsid w:val="00F83C08"/>
    <w:rsid w:val="00FB0B84"/>
    <w:rsid w:val="00FB2D6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6383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9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83A9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83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14C7-141B-44B8-AAB7-70A083E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31</cp:revision>
  <cp:lastPrinted>2023-09-26T11:08:00Z</cp:lastPrinted>
  <dcterms:created xsi:type="dcterms:W3CDTF">2019-01-25T11:01:00Z</dcterms:created>
  <dcterms:modified xsi:type="dcterms:W3CDTF">2023-11-15T13:57:00Z</dcterms:modified>
</cp:coreProperties>
</file>